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MATCH WAIVER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revised process for Maryland state applicants and subgrantees to request an individual match waiver. The intent of this process is simply to have your organization identify and document the specific circumstances your organization faced or is facing in meeting its match requirement at any point in your organization’s grant.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AmeriCorps State subgrantees should submit their waiver requests to their State Service Commission for review and approval. If the Commission approves the sub-grantee (s) waiver request for submission, the Commission will submit the request(s) on behalf of the sub-grantee (s) using the information from this form.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Per 45 CFR §2521.70, all four criteria below must be met for ASN grants. While the agency has included some examples of sufficient justification for each, individual grantees' circumstances vary, and all justifications will be seriously considered.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AmeriCorps' Office of Grant Administration (OGA) will review and evaluate all justifications provided on this form for sufficiency under the respective regulatory provisions, using a prudent-person standard. </w:t>
      </w:r>
    </w:p>
    <w:p w:rsidR="00000000" w:rsidDel="00000000" w:rsidP="00000000" w:rsidRDefault="00000000" w:rsidRPr="00000000" w14:paraId="0000000A">
      <w:pPr>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20"/>
        <w:gridCol w:w="870"/>
        <w:gridCol w:w="735"/>
        <w:gridCol w:w="1035"/>
        <w:gridCol w:w="1035"/>
        <w:gridCol w:w="1035"/>
        <w:gridCol w:w="1035"/>
        <w:gridCol w:w="1035"/>
        <w:tblGridChange w:id="0">
          <w:tblGrid>
            <w:gridCol w:w="1815"/>
            <w:gridCol w:w="720"/>
            <w:gridCol w:w="870"/>
            <w:gridCol w:w="735"/>
            <w:gridCol w:w="1035"/>
            <w:gridCol w:w="1035"/>
            <w:gridCol w:w="1035"/>
            <w:gridCol w:w="1035"/>
            <w:gridCol w:w="103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AmeriCorps Funding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sz w:val="18"/>
                <w:szCs w:val="18"/>
              </w:rPr>
            </w:pPr>
            <w:r w:rsidDel="00000000" w:rsidR="00000000" w:rsidRPr="00000000">
              <w:rPr>
                <w:sz w:val="18"/>
                <w:szCs w:val="18"/>
                <w:rtl w:val="0"/>
              </w:rPr>
              <w:t xml:space="preserve">1, 2, 3 </w:t>
            </w:r>
          </w:p>
          <w:p w:rsidR="00000000" w:rsidDel="00000000" w:rsidP="00000000" w:rsidRDefault="00000000" w:rsidRPr="00000000" w14:paraId="0000000D">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sz w:val="18"/>
                <w:szCs w:val="18"/>
              </w:rPr>
            </w:pPr>
            <w:r w:rsidDel="00000000" w:rsidR="00000000" w:rsidRPr="00000000">
              <w:rPr>
                <w:sz w:val="18"/>
                <w:szCs w:val="18"/>
                <w:rtl w:val="0"/>
              </w:rPr>
              <w:t xml:space="preserve">10+</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sz w:val="18"/>
                <w:szCs w:val="18"/>
              </w:rPr>
            </w:pPr>
            <w:r w:rsidDel="00000000" w:rsidR="00000000" w:rsidRPr="00000000">
              <w:rPr>
                <w:b w:val="1"/>
                <w:bCs w:val="1"/>
                <w:sz w:val="18"/>
                <w:szCs w:val="18"/>
                <w:rtl w:val="0"/>
              </w:rPr>
              <w:t xml:space="preserve">Grantee Share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sz w:val="18"/>
                <w:szCs w:val="18"/>
              </w:rPr>
            </w:pPr>
            <w:r w:rsidDel="00000000" w:rsidR="00000000" w:rsidRPr="00000000">
              <w:rPr>
                <w:sz w:val="18"/>
                <w:szCs w:val="18"/>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sz w:val="18"/>
                <w:szCs w:val="18"/>
              </w:rPr>
            </w:pPr>
            <w:r w:rsidDel="00000000" w:rsidR="00000000" w:rsidRPr="00000000">
              <w:rPr>
                <w:sz w:val="18"/>
                <w:szCs w:val="18"/>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sz w:val="18"/>
                <w:szCs w:val="18"/>
              </w:rPr>
            </w:pPr>
            <w:r w:rsidDel="00000000" w:rsidR="00000000" w:rsidRPr="00000000">
              <w:rPr>
                <w:sz w:val="18"/>
                <w:szCs w:val="18"/>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sz w:val="18"/>
                <w:szCs w:val="18"/>
              </w:rPr>
            </w:pPr>
            <w:r w:rsidDel="00000000" w:rsidR="00000000" w:rsidRPr="00000000">
              <w:rPr>
                <w:sz w:val="18"/>
                <w:szCs w:val="18"/>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sz w:val="18"/>
                <w:szCs w:val="18"/>
              </w:rPr>
            </w:pPr>
            <w:r w:rsidDel="00000000" w:rsidR="00000000" w:rsidRPr="00000000">
              <w:rPr>
                <w:sz w:val="18"/>
                <w:szCs w:val="18"/>
                <w:rtl w:val="0"/>
              </w:rPr>
              <w:t xml:space="preserve">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sz w:val="18"/>
                <w:szCs w:val="18"/>
              </w:rPr>
            </w:pPr>
            <w:r w:rsidDel="00000000" w:rsidR="00000000" w:rsidRPr="00000000">
              <w:rPr>
                <w:sz w:val="18"/>
                <w:szCs w:val="18"/>
                <w:rtl w:val="0"/>
              </w:rPr>
              <w:t xml:space="preserve">42%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sz w:val="18"/>
                <w:szCs w:val="18"/>
              </w:rPr>
            </w:pPr>
            <w:r w:rsidDel="00000000" w:rsidR="00000000" w:rsidRPr="00000000">
              <w:rPr>
                <w:sz w:val="18"/>
                <w:szCs w:val="18"/>
                <w:rtl w:val="0"/>
              </w:rPr>
              <w:t xml:space="preserve">50%</w:t>
            </w:r>
          </w:p>
        </w:tc>
      </w:tr>
    </w:tbl>
    <w:p w:rsidR="00000000" w:rsidDel="00000000" w:rsidP="00000000" w:rsidRDefault="00000000" w:rsidRPr="00000000" w14:paraId="0000001F">
      <w:pPr>
        <w:rPr>
          <w:sz w:val="26"/>
          <w:szCs w:val="2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0">
            <w:pPr>
              <w:rPr>
                <w:sz w:val="26"/>
                <w:szCs w:val="26"/>
              </w:rPr>
            </w:pPr>
            <w:r w:rsidDel="00000000" w:rsidR="00000000" w:rsidRPr="00000000">
              <w:rPr>
                <w:sz w:val="26"/>
                <w:szCs w:val="26"/>
                <w:rtl w:val="0"/>
              </w:rPr>
              <w:t xml:space="preserve">The first four bolded items below are the regulatory criteria, all of which must be met. The remaining eight items provide additional information that must also be completed for all match waiver requests.</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The lack of resources at the local level. [To meet this criterion, please provide a bulleted list of items such as: reduced state or local budget for allowable sources of cash or in-kind match, reduced corporate and/or foundation giving, any other applicable examples of the lack of local resources (such as deep poverty or other economic circumstances); and</w:t>
      </w:r>
    </w:p>
    <w:p w:rsidR="00000000" w:rsidDel="00000000" w:rsidP="00000000" w:rsidRDefault="00000000" w:rsidRPr="00000000" w14:paraId="00000023">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Enter your answer</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The lack of resources in your local community is unique or unusual. [To meet this criterion, please provide at least one example such as: a comparison to another nearby community with more resources, a comparison to another point in time for the community(s) served, etc.]; and</w:t>
      </w:r>
    </w:p>
    <w:p w:rsidR="00000000" w:rsidDel="00000000" w:rsidP="00000000" w:rsidRDefault="00000000" w:rsidRPr="00000000" w14:paraId="0000002C">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Enter your answer</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The efforts you have made to raise matching resources. [To meet this criterion, please provide a bulleted list of prospective funders who denied requests for funding this year and the amounts of the requests to each funder.]</w:t>
      </w:r>
    </w:p>
    <w:p w:rsidR="00000000" w:rsidDel="00000000" w:rsidP="00000000" w:rsidRDefault="00000000" w:rsidRPr="00000000" w14:paraId="00000035">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Enter your answer</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The amount of matching resources you have raised or reasonably expect to raise. [To meet this criterion, please provide a bulleted list of secured or likely funders and the amount you expect to receive from each one.]</w:t>
      </w:r>
    </w:p>
    <w:p w:rsidR="00000000" w:rsidDel="00000000" w:rsidP="00000000" w:rsidRDefault="00000000" w:rsidRPr="00000000" w14:paraId="0000003E">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Enter your answer</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What is the current match percentage, and what is the desired new match percentage? </w:t>
      </w:r>
    </w:p>
    <w:p w:rsidR="00000000" w:rsidDel="00000000" w:rsidP="00000000" w:rsidRDefault="00000000" w:rsidRPr="00000000" w14:paraId="00000047">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Enter your answer</w:t>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Bulleted list of proposed activities on the Grantee Share of the budget that would not happen if the waiver is granted.</w:t>
      </w:r>
    </w:p>
    <w:p w:rsidR="00000000" w:rsidDel="00000000" w:rsidP="00000000" w:rsidRDefault="00000000" w:rsidRPr="00000000" w14:paraId="00000050">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Enter your answer</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Program year or years for which you are requesting a match waiver. </w:t>
      </w:r>
    </w:p>
    <w:p w:rsidR="00000000" w:rsidDel="00000000" w:rsidP="00000000" w:rsidRDefault="00000000" w:rsidRPr="00000000" w14:paraId="00000059">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Enter your answer</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Organization Name.</w:t>
      </w:r>
    </w:p>
    <w:p w:rsidR="00000000" w:rsidDel="00000000" w:rsidP="00000000" w:rsidRDefault="00000000" w:rsidRPr="00000000" w14:paraId="00000063">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Enter your answer</w:t>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AmeriCorps Grant Number or Application ID if applying for a new grant.</w:t>
      </w:r>
    </w:p>
    <w:p w:rsidR="00000000" w:rsidDel="00000000" w:rsidP="00000000" w:rsidRDefault="00000000" w:rsidRPr="00000000" w14:paraId="0000006C">
      <w:pPr>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Enter your answer</w:t>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Authorized Representative Name [Inclusion of name constitutes certification of accuracy of facts included in this request.]</w:t>
      </w:r>
    </w:p>
    <w:p w:rsidR="00000000" w:rsidDel="00000000" w:rsidP="00000000" w:rsidRDefault="00000000" w:rsidRPr="00000000" w14:paraId="00000075">
      <w:pPr>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Enter your answer</w:t>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Email Address and Phone Number of Authorized Representative.</w:t>
      </w:r>
    </w:p>
    <w:p w:rsidR="00000000" w:rsidDel="00000000" w:rsidP="00000000" w:rsidRDefault="00000000" w:rsidRPr="00000000" w14:paraId="0000007E">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Enter your answer</w:t>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0" w:firstLine="0"/>
        <w:rPr>
          <w:b w:val="1"/>
          <w:bCs w:val="1"/>
        </w:rPr>
      </w:pPr>
      <w:r w:rsidDel="00000000" w:rsidR="00000000" w:rsidRPr="00000000">
        <w:rPr>
          <w:b w:val="1"/>
          <w:bCs w:val="1"/>
          <w:rtl w:val="0"/>
        </w:rPr>
        <w:t xml:space="preserve">Date of Request.</w:t>
      </w:r>
    </w:p>
    <w:p w:rsidR="00000000" w:rsidDel="00000000" w:rsidP="00000000" w:rsidRDefault="00000000" w:rsidRPr="00000000" w14:paraId="00000087">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Enter your answer</w:t>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line="240" w:lineRule="auto"/>
      <w:rPr>
        <w:i w:val="1"/>
        <w:iCs w:val="1"/>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i w:val="1"/>
        <w:iCs w:val="1"/>
        <w:rtl w:val="0"/>
      </w:rPr>
      <w:t xml:space="preserve">Maryland Governor’s Office of Service and Volunteerism </w:t>
      <w:tab/>
      <w:t xml:space="preserve">      </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/3</w:t>
    </w:r>
  </w:p>
  <w:p w:rsidR="00000000" w:rsidDel="00000000" w:rsidP="00000000" w:rsidRDefault="00000000" w:rsidRPr="00000000" w14:paraId="0000008D">
    <w:pPr>
      <w:jc w:val="left"/>
      <w:rPr>
        <w:i w:val="1"/>
        <w:iCs w:val="1"/>
      </w:rPr>
    </w:pPr>
    <w:r w:rsidDel="00000000" w:rsidR="00000000" w:rsidRPr="00000000">
      <w:rPr>
        <w:i w:val="1"/>
        <w:iCs w:val="1"/>
        <w:rtl w:val="0"/>
      </w:rPr>
      <w:t xml:space="preserve">Individual Match Waiver Request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0"/>
      <w:spacing w:line="240" w:lineRule="auto"/>
      <w:ind w:left="326" w:firstLine="0"/>
      <w:rPr>
        <w:rFonts w:ascii="Calibri" w:cs="Calibri" w:eastAsia="Calibri" w:hAnsi="Calibri"/>
      </w:rPr>
    </w:pPr>
    <w:r w:rsidDel="00000000" w:rsidR="00000000" w:rsidRPr="00000000">
      <w:rPr>
        <w:rFonts w:ascii="Times New Roman" w:cs="Times New Roman" w:eastAsia="Times New Roman" w:hAnsi="Times New Roman"/>
        <w:sz w:val="33"/>
        <w:szCs w:val="33"/>
        <w:vertAlign w:val="superscript"/>
      </w:rPr>
      <mc:AlternateContent>
        <mc:Choice Requires="wpg">
          <w:drawing>
            <wp:inline distB="0" distT="0" distL="0" distR="0">
              <wp:extent cx="469404" cy="395288"/>
              <wp:effectExtent b="0" l="0" r="0" t="0"/>
              <wp:docPr id="2" name=""/>
              <a:graphic>
                <a:graphicData uri="http://schemas.microsoft.com/office/word/2010/wordprocessingGroup">
                  <wpg:wgp>
                    <wpg:cNvGrpSpPr/>
                    <wpg:grpSpPr>
                      <a:xfrm>
                        <a:off x="5111275" y="3582350"/>
                        <a:ext cx="469404" cy="395288"/>
                        <a:chOff x="5111275" y="3582350"/>
                        <a:chExt cx="469450" cy="395300"/>
                      </a:xfrm>
                    </wpg:grpSpPr>
                    <wpg:grpSp>
                      <wpg:cNvGrpSpPr/>
                      <wpg:grpSpPr>
                        <a:xfrm>
                          <a:off x="5111298" y="3582356"/>
                          <a:ext cx="469564" cy="395288"/>
                          <a:chOff x="5164375" y="3629175"/>
                          <a:chExt cx="363349" cy="301650"/>
                        </a:xfrm>
                      </wpg:grpSpPr>
                      <wps:wsp>
                        <wps:cNvSpPr/>
                        <wps:cNvPr id="3" name="Shape 3"/>
                        <wps:spPr>
                          <a:xfrm>
                            <a:off x="5164375" y="3629175"/>
                            <a:ext cx="363225" cy="30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64390" y="3629188"/>
                            <a:ext cx="363334" cy="301625"/>
                            <a:chOff x="0" y="0"/>
                            <a:chExt cx="363334" cy="301625"/>
                          </a:xfrm>
                        </wpg:grpSpPr>
                        <wps:wsp>
                          <wps:cNvSpPr/>
                          <wps:cNvPr id="5" name="Shape 5"/>
                          <wps:spPr>
                            <a:xfrm>
                              <a:off x="0" y="0"/>
                              <a:ext cx="363200" cy="301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43503"/>
                              <a:ext cx="363220" cy="158115"/>
                            </a:xfrm>
                            <a:custGeom>
                              <a:rect b="b" l="l" r="r" t="t"/>
                              <a:pathLst>
                                <a:path extrusionOk="0" h="158115" w="363220">
                                  <a:moveTo>
                                    <a:pt x="29286" y="0"/>
                                  </a:moveTo>
                                  <a:lnTo>
                                    <a:pt x="0" y="46177"/>
                                  </a:lnTo>
                                  <a:lnTo>
                                    <a:pt x="362953" y="157683"/>
                                  </a:lnTo>
                                  <a:lnTo>
                                    <a:pt x="362953" y="102501"/>
                                  </a:lnTo>
                                  <a:lnTo>
                                    <a:pt x="29286" y="0"/>
                                  </a:lnTo>
                                  <a:close/>
                                </a:path>
                              </a:pathLst>
                            </a:custGeom>
                            <a:solidFill>
                              <a:srgbClr val="211E1F"/>
                            </a:solidFill>
                            <a:ln>
                              <a:noFill/>
                            </a:ln>
                          </wps:spPr>
                          <wps:bodyPr anchorCtr="0" anchor="ctr" bIns="91425" lIns="91425" spcFirstLastPara="1" rIns="91425" wrap="square" tIns="91425">
                            <a:noAutofit/>
                          </wps:bodyPr>
                        </wps:wsp>
                        <wps:wsp>
                          <wps:cNvSpPr/>
                          <wps:cNvPr id="7" name="Shape 7"/>
                          <wps:spPr>
                            <a:xfrm>
                              <a:off x="94094" y="83694"/>
                              <a:ext cx="269240" cy="118745"/>
                            </a:xfrm>
                            <a:custGeom>
                              <a:rect b="b" l="l" r="r" t="t"/>
                              <a:pathLst>
                                <a:path extrusionOk="0" h="118745" w="269240">
                                  <a:moveTo>
                                    <a:pt x="19481" y="0"/>
                                  </a:moveTo>
                                  <a:lnTo>
                                    <a:pt x="0" y="35814"/>
                                  </a:lnTo>
                                  <a:lnTo>
                                    <a:pt x="268871" y="118427"/>
                                  </a:lnTo>
                                  <a:lnTo>
                                    <a:pt x="268871" y="76606"/>
                                  </a:lnTo>
                                  <a:lnTo>
                                    <a:pt x="19481" y="0"/>
                                  </a:lnTo>
                                  <a:close/>
                                </a:path>
                              </a:pathLst>
                            </a:custGeom>
                            <a:solidFill>
                              <a:srgbClr val="FFC937"/>
                            </a:solidFill>
                            <a:ln>
                              <a:noFill/>
                            </a:ln>
                          </wps:spPr>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165971" y="0"/>
                              <a:ext cx="196989" cy="126446"/>
                            </a:xfrm>
                            <a:prstGeom prst="rect">
                              <a:avLst/>
                            </a:prstGeom>
                            <a:noFill/>
                            <a:ln>
                              <a:noFill/>
                            </a:ln>
                          </pic:spPr>
                        </pic:pic>
                      </wpg:grpSp>
                    </wpg:grpSp>
                  </wpg:wgp>
                </a:graphicData>
              </a:graphic>
            </wp:inline>
          </w:drawing>
        </mc:Choice>
        <mc:Fallback>
          <w:drawing>
            <wp:inline distB="0" distT="0" distL="0" distR="0">
              <wp:extent cx="469404" cy="395288"/>
              <wp:effectExtent b="0" l="0" r="0" t="0"/>
              <wp:docPr id="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69404" cy="395288"/>
                      </a:xfrm>
                      <a:prstGeom prst="rect"/>
                      <a:ln/>
                    </pic:spPr>
                  </pic:pic>
                </a:graphicData>
              </a:graphic>
            </wp:inline>
          </w:drawing>
        </mc:Fallback>
      </mc:AlternateContent>
    </w:r>
    <w:r w:rsidDel="00000000" w:rsidR="00000000" w:rsidRPr="00000000">
      <w:rPr>
        <w:rFonts w:ascii="Times New Roman" w:cs="Times New Roman" w:eastAsia="Times New Roman" w:hAnsi="Times New Roman"/>
        <w:sz w:val="33"/>
        <w:szCs w:val="33"/>
        <w:vertAlign w:val="superscript"/>
        <w:rtl w:val="0"/>
      </w:rPr>
      <w:t xml:space="preserve"> </w:t>
    </w:r>
    <w:r w:rsidDel="00000000" w:rsidR="00000000" w:rsidRPr="00000000">
      <w:rPr>
        <w:rFonts w:ascii="Times New Roman" w:cs="Times New Roman" w:eastAsia="Times New Roman" w:hAnsi="Times New Roman"/>
        <w:sz w:val="33"/>
        <w:szCs w:val="33"/>
        <w:vertAlign w:val="superscript"/>
      </w:rPr>
      <w:drawing>
        <wp:inline distB="0" distT="0" distL="0" distR="0">
          <wp:extent cx="1544303" cy="419100"/>
          <wp:effectExtent b="0" l="0" r="0" t="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544303" cy="419100"/>
                  </a:xfrm>
                  <a:prstGeom prst="rect"/>
                  <a:ln/>
                </pic:spPr>
              </pic:pic>
            </a:graphicData>
          </a:graphic>
        </wp:inline>
      </w:drawing>
    </w:r>
    <w:r w:rsidDel="00000000" w:rsidR="00000000" w:rsidRPr="00000000">
      <w:rPr>
        <w:rFonts w:ascii="Times New Roman" w:cs="Times New Roman" w:eastAsia="Times New Roman" w:hAnsi="Times New Roman"/>
        <w:sz w:val="33"/>
        <w:szCs w:val="33"/>
        <w:vertAlign w:val="superscript"/>
        <w:rtl w:val="0"/>
      </w:rPr>
      <w:tab/>
      <w:tab/>
      <w:tab/>
    </w:r>
    <w:r w:rsidDel="00000000" w:rsidR="00000000" w:rsidRPr="00000000">
      <w:rPr>
        <w:sz w:val="20"/>
        <w:szCs w:val="20"/>
      </w:rPr>
      <w:drawing>
        <wp:inline distB="114300" distT="114300" distL="114300" distR="114300">
          <wp:extent cx="1928813" cy="528972"/>
          <wp:effectExtent b="0" l="0" r="0" t="0"/>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928813" cy="528972"/>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b w:val="1"/>
        <w:bCs w:val="1"/>
        <w:rtl w:val="0"/>
      </w:rPr>
      <w:t xml:space="preserve">Individual Match Waiver Request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a6Zqy8/MggzNIAiBcvU9mTsVw==">CgMxLjA4AHIhMXVJb0FUQ0g3eE9XejZOWnEwSGJmN2ZLd3FBODFGdVNB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