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ource Sans Pro" w:cs="Source Sans Pro" w:eastAsia="Source Sans Pro" w:hAnsi="Source Sans Pro"/>
          <w:b w:val="1"/>
          <w:bCs w:val="1"/>
          <w:sz w:val="36"/>
          <w:szCs w:val="36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36"/>
          <w:szCs w:val="36"/>
          <w:rtl w:val="0"/>
        </w:rPr>
        <w:t xml:space="preserve">MSY WAIVER</w:t>
      </w:r>
    </w:p>
    <w:p w:rsidR="00000000" w:rsidDel="00000000" w:rsidP="00000000" w:rsidRDefault="00000000" w:rsidRPr="00000000" w14:paraId="00000002">
      <w:pPr>
        <w:jc w:val="center"/>
        <w:rPr>
          <w:rFonts w:ascii="Source Sans Pro" w:cs="Source Sans Pro" w:eastAsia="Source Sans Pro" w:hAnsi="Source Sans Pro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ource Sans Pro" w:cs="Source Sans Pro" w:eastAsia="Source Sans Pro" w:hAnsi="Source Sans Pro"/>
          <w:i w:val="1"/>
          <w:iCs w:val="1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1"/>
          <w:szCs w:val="21"/>
          <w:rtl w:val="0"/>
        </w:rPr>
        <w:t xml:space="preserve">To: </w:t>
        <w:tab/>
        <w:tab/>
        <w:t xml:space="preserve">FY24_MD GOSV Subgrantees  </w:t>
      </w: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sz w:val="21"/>
          <w:szCs w:val="21"/>
          <w:rtl w:val="0"/>
        </w:rPr>
        <w:t xml:space="preserve">[for the funding year 8/15/26 - 8/14/27]</w:t>
      </w:r>
    </w:p>
    <w:p w:rsidR="00000000" w:rsidDel="00000000" w:rsidP="00000000" w:rsidRDefault="00000000" w:rsidRPr="00000000" w14:paraId="00000004">
      <w:pPr>
        <w:rPr>
          <w:rFonts w:ascii="Source Sans Pro" w:cs="Source Sans Pro" w:eastAsia="Source Sans Pro" w:hAnsi="Source Sans Pro"/>
          <w:b w:val="1"/>
          <w:bCs w:val="1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1"/>
          <w:szCs w:val="21"/>
          <w:rtl w:val="0"/>
        </w:rPr>
        <w:t xml:space="preserve">From: </w:t>
        <w:tab/>
        <w:tab/>
        <w:t xml:space="preserve">Maryland Governor’s Office on Service and Volunteerism (GOSV)</w:t>
        <w:br w:type="textWrapping"/>
        <w:tab/>
        <w:tab/>
        <w:t xml:space="preserve">Maryland State Service Commission </w:t>
        <w:br w:type="textWrapping"/>
        <w:t xml:space="preserve">Re: </w:t>
        <w:tab/>
        <w:tab/>
        <w:t xml:space="preserve">FY24 Mandatory Member Service Year (MSY) Waiver Required</w:t>
      </w:r>
    </w:p>
    <w:p w:rsidR="00000000" w:rsidDel="00000000" w:rsidP="00000000" w:rsidRDefault="00000000" w:rsidRPr="00000000" w14:paraId="00000005">
      <w:pPr>
        <w:rPr>
          <w:rFonts w:ascii="Source Sans Pro" w:cs="Source Sans Pro" w:eastAsia="Source Sans Pro" w:hAnsi="Source Sans Pro"/>
          <w:b w:val="1"/>
          <w:bCs w:val="1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1"/>
          <w:szCs w:val="21"/>
          <w:rtl w:val="0"/>
        </w:rPr>
        <w:t xml:space="preserve">Date: </w:t>
        <w:tab/>
        <w:tab/>
        <w:t xml:space="preserve">Effective December  1, 2023</w:t>
      </w:r>
    </w:p>
    <w:p w:rsidR="00000000" w:rsidDel="00000000" w:rsidP="00000000" w:rsidRDefault="00000000" w:rsidRPr="00000000" w14:paraId="00000006">
      <w:pPr>
        <w:jc w:val="center"/>
        <w:rPr>
          <w:rFonts w:ascii="Source Sans Pro" w:cs="Source Sans Pro" w:eastAsia="Source Sans Pro" w:hAnsi="Source Sans Pro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Source Sans Pro" w:cs="Source Sans Pro" w:eastAsia="Source Sans Pro" w:hAnsi="Source Sans Pro"/>
          <w:b w:val="1"/>
          <w:bCs w:val="1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For purposes of programmatic sustainability, the Governor’s Office on Service and Volunteerism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0"/>
          <w:szCs w:val="20"/>
          <w:rtl w:val="0"/>
        </w:rPr>
        <w:t xml:space="preserve">(GOSV) requires that MD State AmeriCorps Sub-Grantee Applicants plan for and maintain program operations for the following minimum/maximum MSY (Member Service Year).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Source Sans Pro" w:cs="Source Sans Pro" w:eastAsia="Source Sans Pro" w:hAnsi="Source Sans Pr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Source Sans Pro" w:cs="Source Sans Pro" w:eastAsia="Source Sans Pro" w:hAnsi="Source Sans Pro"/>
          <w:sz w:val="20"/>
          <w:szCs w:val="20"/>
          <w:shd w:fill="fff2cc" w:val="clear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highlight w:val="white"/>
          <w:rtl w:val="0"/>
        </w:rPr>
        <w:t xml:space="preserve">Going forward, eligible new applicants may request as few as 5 MSYs (Member Service Year) in the first year.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2610"/>
        <w:tblGridChange w:id="0">
          <w:tblGrid>
            <w:gridCol w:w="3120"/>
            <w:gridCol w:w="3120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1"/>
                <w:szCs w:val="21"/>
                <w:rtl w:val="0"/>
              </w:rPr>
              <w:t xml:space="preserve">GOSV Portfolio Grant Type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1"/>
                <w:szCs w:val="21"/>
                <w:rtl w:val="0"/>
              </w:rPr>
              <w:t xml:space="preserve">Minimum MSY Request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1"/>
                <w:szCs w:val="21"/>
                <w:rtl w:val="0"/>
              </w:rPr>
              <w:t xml:space="preserve">Maximum MSY Request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1"/>
                <w:szCs w:val="21"/>
                <w:rtl w:val="0"/>
              </w:rPr>
              <w:t xml:space="preserve">Planning Grant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1"/>
                <w:szCs w:val="2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1"/>
                <w:szCs w:val="21"/>
                <w:rtl w:val="0"/>
              </w:rPr>
              <w:t xml:space="preserve"> MSY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1"/>
                <w:szCs w:val="2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1"/>
                <w:szCs w:val="21"/>
                <w:rtl w:val="0"/>
              </w:rPr>
              <w:t xml:space="preserve"> MSY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1"/>
                <w:szCs w:val="21"/>
                <w:rtl w:val="0"/>
              </w:rPr>
              <w:t xml:space="preserve">New (First Time) Operating Grant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1"/>
                <w:szCs w:val="2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1"/>
                <w:szCs w:val="21"/>
                <w:rtl w:val="0"/>
              </w:rPr>
              <w:t xml:space="preserve">5 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1"/>
                <w:szCs w:val="21"/>
                <w:rtl w:val="0"/>
              </w:rPr>
              <w:t xml:space="preserve">MSY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1"/>
                <w:szCs w:val="2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1"/>
                <w:szCs w:val="21"/>
                <w:rtl w:val="0"/>
              </w:rPr>
              <w:t xml:space="preserve">15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1"/>
                <w:szCs w:val="21"/>
                <w:rtl w:val="0"/>
              </w:rPr>
              <w:t xml:space="preserve"> MSY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iCs w:val="1"/>
                <w:sz w:val="21"/>
                <w:szCs w:val="21"/>
                <w:rtl w:val="0"/>
              </w:rPr>
              <w:t xml:space="preserve">Continuing or Re-Competing Operating Grant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1"/>
                <w:szCs w:val="2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sz w:val="21"/>
                <w:szCs w:val="21"/>
                <w:rtl w:val="0"/>
              </w:rPr>
              <w:t xml:space="preserve">20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21"/>
                <w:szCs w:val="21"/>
                <w:rtl w:val="0"/>
              </w:rPr>
              <w:t xml:space="preserve"> MSY</w:t>
              <w:br w:type="textWrapping"/>
              <w:t xml:space="preserve">(unless Waiver is authorized)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1"/>
                <w:szCs w:val="2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1"/>
                <w:szCs w:val="21"/>
                <w:rtl w:val="0"/>
              </w:rPr>
              <w:t xml:space="preserve">no current limit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Source Sans Pro" w:cs="Source Sans Pro" w:eastAsia="Source Sans Pro" w:hAnsi="Source Sans Pro"/>
          <w:b w:val="1"/>
          <w:bCs w:val="1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1"/>
          <w:szCs w:val="21"/>
          <w:rtl w:val="0"/>
        </w:rPr>
        <w:t xml:space="preserve">If a compelling circumstance is presented, the Maryland State Service Commission may approve smaller programs on a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i w:val="1"/>
          <w:iCs w:val="1"/>
          <w:sz w:val="21"/>
          <w:szCs w:val="21"/>
          <w:rtl w:val="0"/>
        </w:rPr>
        <w:t xml:space="preserve">case-by-case basis.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1"/>
          <w:szCs w:val="21"/>
          <w:rtl w:val="0"/>
        </w:rPr>
        <w:t xml:space="preserve"> To request a waiver to the GOSV  MSY minimum, please submit a narrative justification for the request that answers the following: </w:t>
      </w:r>
    </w:p>
    <w:p w:rsidR="00000000" w:rsidDel="00000000" w:rsidP="00000000" w:rsidRDefault="00000000" w:rsidRPr="00000000" w14:paraId="00000019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1. How many MSYs are you requesting, and in what slot configuration (i.e., how many full-time members, how many half-time, how many quarter-time, etc) </w:t>
      </w:r>
    </w:p>
    <w:p w:rsidR="00000000" w:rsidDel="00000000" w:rsidP="00000000" w:rsidRDefault="00000000" w:rsidRPr="00000000" w14:paraId="0000001B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720"/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2. What is your recruitment plan for your requested MSY?</w:t>
      </w:r>
    </w:p>
    <w:p w:rsidR="00000000" w:rsidDel="00000000" w:rsidP="00000000" w:rsidRDefault="00000000" w:rsidRPr="00000000" w14:paraId="0000001D">
      <w:pPr>
        <w:ind w:right="-720"/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3. Please share any other information related to your waiver request. </w:t>
      </w:r>
    </w:p>
    <w:p w:rsidR="00000000" w:rsidDel="00000000" w:rsidP="00000000" w:rsidRDefault="00000000" w:rsidRPr="00000000" w14:paraId="0000001F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ource Sans Pro" w:cs="Source Sans Pro" w:eastAsia="Source Sans Pro" w:hAnsi="Source Sans Pro"/>
          <w:b w:val="1"/>
          <w:bCs w:val="1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1"/>
          <w:szCs w:val="21"/>
          <w:rtl w:val="0"/>
        </w:rPr>
        <w:t xml:space="preserve">Once complete, please email your application materials via the application portal.</w:t>
      </w:r>
    </w:p>
    <w:p w:rsidR="00000000" w:rsidDel="00000000" w:rsidP="00000000" w:rsidRDefault="00000000" w:rsidRPr="00000000" w14:paraId="00000021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Source Sans Pro" w:cs="Source Sans Pro" w:eastAsia="Source Sans Pro" w:hAnsi="Source Sans Pro"/>
          <w:i w:val="1"/>
          <w:iCs w:val="1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iCs w:val="1"/>
          <w:sz w:val="21"/>
          <w:szCs w:val="21"/>
          <w:rtl w:val="0"/>
        </w:rPr>
        <w:t xml:space="preserve">###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Source Sans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spacing w:line="240" w:lineRule="auto"/>
      <w:ind w:left="326" w:firstLine="0"/>
      <w:rPr>
        <w:rFonts w:ascii="Calibri" w:cs="Calibri" w:eastAsia="Calibri" w:hAnsi="Calibri"/>
      </w:rPr>
    </w:pPr>
    <w:r w:rsidDel="00000000" w:rsidR="00000000" w:rsidRPr="00000000">
      <w:rPr>
        <w:rFonts w:ascii="Times New Roman" w:cs="Times New Roman" w:eastAsia="Times New Roman" w:hAnsi="Times New Roman"/>
        <w:sz w:val="33"/>
        <w:szCs w:val="33"/>
        <w:vertAlign w:val="superscript"/>
      </w:rPr>
      <mc:AlternateContent>
        <mc:Choice Requires="wpg">
          <w:drawing>
            <wp:inline distB="0" distT="0" distL="0" distR="0">
              <wp:extent cx="469404" cy="395288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111275" y="3582350"/>
                        <a:ext cx="469404" cy="395288"/>
                        <a:chOff x="5111275" y="3582350"/>
                        <a:chExt cx="469450" cy="395300"/>
                      </a:xfrm>
                    </wpg:grpSpPr>
                    <wpg:grpSp>
                      <wpg:cNvGrpSpPr/>
                      <wpg:grpSpPr>
                        <a:xfrm>
                          <a:off x="5111298" y="3582356"/>
                          <a:ext cx="469564" cy="395288"/>
                          <a:chOff x="5164375" y="3629175"/>
                          <a:chExt cx="363349" cy="3016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5164375" y="3629175"/>
                            <a:ext cx="363225" cy="3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164390" y="3629188"/>
                            <a:ext cx="363334" cy="301625"/>
                            <a:chOff x="0" y="0"/>
                            <a:chExt cx="363334" cy="30162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36320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143503"/>
                              <a:ext cx="363220" cy="158115"/>
                            </a:xfrm>
                            <a:custGeom>
                              <a:rect b="b" l="l" r="r" t="t"/>
                              <a:pathLst>
                                <a:path extrusionOk="0" h="158115" w="363220">
                                  <a:moveTo>
                                    <a:pt x="29286" y="0"/>
                                  </a:moveTo>
                                  <a:lnTo>
                                    <a:pt x="0" y="46177"/>
                                  </a:lnTo>
                                  <a:lnTo>
                                    <a:pt x="362953" y="157683"/>
                                  </a:lnTo>
                                  <a:lnTo>
                                    <a:pt x="362953" y="102501"/>
                                  </a:lnTo>
                                  <a:lnTo>
                                    <a:pt x="29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1E1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4094" y="83694"/>
                              <a:ext cx="269240" cy="118745"/>
                            </a:xfrm>
                            <a:custGeom>
                              <a:rect b="b" l="l" r="r" t="t"/>
                              <a:pathLst>
                                <a:path extrusionOk="0" h="118745" w="269240">
                                  <a:moveTo>
                                    <a:pt x="19481" y="0"/>
                                  </a:moveTo>
                                  <a:lnTo>
                                    <a:pt x="0" y="35814"/>
                                  </a:lnTo>
                                  <a:lnTo>
                                    <a:pt x="268871" y="118427"/>
                                  </a:lnTo>
                                  <a:lnTo>
                                    <a:pt x="268871" y="76606"/>
                                  </a:lnTo>
                                  <a:lnTo>
                                    <a:pt x="194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93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65971" y="0"/>
                              <a:ext cx="196989" cy="1264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inline>
          </w:drawing>
        </mc:Choice>
        <mc:Fallback>
          <w:drawing>
            <wp:inline distB="0" distT="0" distL="0" distR="0">
              <wp:extent cx="469404" cy="395288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404" cy="39528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sz w:val="33"/>
        <w:szCs w:val="33"/>
        <w:vertAlign w:val="superscript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33"/>
        <w:szCs w:val="33"/>
        <w:vertAlign w:val="superscript"/>
      </w:rPr>
      <w:drawing>
        <wp:inline distB="0" distT="0" distL="0" distR="0">
          <wp:extent cx="1544303" cy="419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4303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33"/>
        <w:szCs w:val="33"/>
        <w:vertAlign w:val="superscript"/>
        <w:rtl w:val="0"/>
      </w:rPr>
      <w:tab/>
      <w:tab/>
      <w:tab/>
    </w: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928813" cy="52897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8813" cy="5289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